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41C" w:rsidRPr="002D541C" w:rsidRDefault="002D541C" w:rsidP="002D541C">
      <w:pPr>
        <w:shd w:val="clear" w:color="auto" w:fill="FFFFFF"/>
        <w:spacing w:after="105" w:line="240" w:lineRule="auto"/>
        <w:outlineLvl w:val="1"/>
        <w:rPr>
          <w:rFonts w:ascii="Verdana" w:eastAsia="Times New Roman" w:hAnsi="Verdana" w:cs="Times New Roman"/>
          <w:color w:val="000000"/>
          <w:sz w:val="24"/>
          <w:szCs w:val="24"/>
          <w:lang w:eastAsia="nl-NL"/>
        </w:rPr>
      </w:pPr>
      <w:r w:rsidRPr="002D541C">
        <w:rPr>
          <w:rFonts w:ascii="Verdana" w:eastAsia="Times New Roman" w:hAnsi="Verdana" w:cs="Times New Roman"/>
          <w:color w:val="000000"/>
          <w:sz w:val="24"/>
          <w:szCs w:val="24"/>
          <w:lang w:eastAsia="nl-NL"/>
        </w:rPr>
        <w:t>Wat is financieel misbruik</w:t>
      </w:r>
      <w:r>
        <w:rPr>
          <w:rFonts w:ascii="Verdana" w:eastAsia="Times New Roman" w:hAnsi="Verdana" w:cs="Times New Roman"/>
          <w:color w:val="000000"/>
          <w:sz w:val="24"/>
          <w:szCs w:val="24"/>
          <w:lang w:eastAsia="nl-NL"/>
        </w:rPr>
        <w:t xml:space="preserve"> of uitbuiting</w:t>
      </w:r>
    </w:p>
    <w:p w:rsidR="002D541C" w:rsidRPr="002D541C" w:rsidRDefault="002D541C" w:rsidP="002D541C">
      <w:pPr>
        <w:shd w:val="clear" w:color="auto" w:fill="FFFFFF"/>
        <w:spacing w:after="225" w:line="336" w:lineRule="atLeast"/>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 xml:space="preserve">Financieel misbruik is ongewenst en ongeoorloofd gebruik van geld en/of goederen of andere bezittingen </w:t>
      </w:r>
      <w:bookmarkStart w:id="0" w:name="_GoBack"/>
      <w:r w:rsidRPr="002D541C">
        <w:rPr>
          <w:rFonts w:ascii="Verdana" w:eastAsia="Times New Roman" w:hAnsi="Verdana" w:cs="Times New Roman"/>
          <w:color w:val="000000"/>
          <w:sz w:val="17"/>
          <w:szCs w:val="17"/>
          <w:lang w:eastAsia="nl-NL"/>
        </w:rPr>
        <w:t xml:space="preserve">van een oudere door iemand uit de huiselijke kring. De mate kan variëren van het zich niet-realiseren tot </w:t>
      </w:r>
      <w:bookmarkEnd w:id="0"/>
      <w:r w:rsidRPr="002D541C">
        <w:rPr>
          <w:rFonts w:ascii="Verdana" w:eastAsia="Times New Roman" w:hAnsi="Verdana" w:cs="Times New Roman"/>
          <w:color w:val="000000"/>
          <w:sz w:val="17"/>
          <w:szCs w:val="17"/>
          <w:lang w:eastAsia="nl-NL"/>
        </w:rPr>
        <w:t>aan een strafbaar feit.</w:t>
      </w:r>
    </w:p>
    <w:p w:rsidR="002D541C" w:rsidRPr="002D541C" w:rsidRDefault="002D541C" w:rsidP="002D541C">
      <w:pPr>
        <w:shd w:val="clear" w:color="auto" w:fill="FFFFFF"/>
        <w:spacing w:after="225" w:line="336" w:lineRule="atLeast"/>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Voorbeelden van financieel misbruik zijn boodschappen voor zichzelf betalen met de pinpas van een ander, bedragen overmaken naar de eigen rekening, diefstal van – al of niet waardevolle en dierbare – bezittingen, pinpasfraude, gedwongen testamentwijziging, wilsbeschikking of hypotheekopname, verkoop van eigendommen, misbruik van machtigingen, koop op naam van slachtoffer, financieel kort houden.</w:t>
      </w:r>
    </w:p>
    <w:p w:rsidR="002D541C" w:rsidRPr="002D541C" w:rsidRDefault="002D541C" w:rsidP="002D541C">
      <w:pPr>
        <w:shd w:val="clear" w:color="auto" w:fill="FFFFFF"/>
        <w:spacing w:after="105" w:line="240" w:lineRule="auto"/>
        <w:outlineLvl w:val="1"/>
        <w:rPr>
          <w:rFonts w:ascii="Verdana" w:eastAsia="Times New Roman" w:hAnsi="Verdana" w:cs="Times New Roman"/>
          <w:color w:val="000000"/>
          <w:sz w:val="24"/>
          <w:szCs w:val="24"/>
          <w:lang w:eastAsia="nl-NL"/>
        </w:rPr>
      </w:pPr>
      <w:r w:rsidRPr="002D541C">
        <w:rPr>
          <w:rFonts w:ascii="Verdana" w:eastAsia="Times New Roman" w:hAnsi="Verdana" w:cs="Times New Roman"/>
          <w:color w:val="000000"/>
          <w:sz w:val="24"/>
          <w:szCs w:val="24"/>
          <w:lang w:eastAsia="nl-NL"/>
        </w:rPr>
        <w:t>Wie zijn de plegers?</w:t>
      </w:r>
    </w:p>
    <w:p w:rsidR="002D541C" w:rsidRPr="002D541C" w:rsidRDefault="002D541C" w:rsidP="002D541C">
      <w:pPr>
        <w:shd w:val="clear" w:color="auto" w:fill="FFFFFF"/>
        <w:spacing w:after="225" w:line="336" w:lineRule="atLeast"/>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Plegers kunnen familieleden zijn, zoals (ex) partners en (klein)kinderen, maar ook huisvrienden. Daarnaast kunnen het ook personen zijn van wie het slachtoffer afhankelijk is zoals professionele hulpverleners of een vrijwilliger.</w:t>
      </w:r>
    </w:p>
    <w:p w:rsidR="002D541C" w:rsidRPr="002D541C" w:rsidRDefault="002D541C" w:rsidP="002D541C">
      <w:pPr>
        <w:shd w:val="clear" w:color="auto" w:fill="FFFFFF"/>
        <w:spacing w:after="105" w:line="240" w:lineRule="auto"/>
        <w:outlineLvl w:val="1"/>
        <w:rPr>
          <w:rFonts w:ascii="Verdana" w:eastAsia="Times New Roman" w:hAnsi="Verdana" w:cs="Times New Roman"/>
          <w:color w:val="000000"/>
          <w:sz w:val="24"/>
          <w:szCs w:val="24"/>
          <w:lang w:eastAsia="nl-NL"/>
        </w:rPr>
      </w:pPr>
      <w:r w:rsidRPr="002D541C">
        <w:rPr>
          <w:rFonts w:ascii="Verdana" w:eastAsia="Times New Roman" w:hAnsi="Verdana" w:cs="Times New Roman"/>
          <w:color w:val="000000"/>
          <w:sz w:val="24"/>
          <w:szCs w:val="24"/>
          <w:lang w:eastAsia="nl-NL"/>
        </w:rPr>
        <w:t>Signalen</w:t>
      </w:r>
    </w:p>
    <w:p w:rsidR="002D541C" w:rsidRPr="002D541C" w:rsidRDefault="002D541C" w:rsidP="002D541C">
      <w:pPr>
        <w:shd w:val="clear" w:color="auto" w:fill="FFFFFF"/>
        <w:spacing w:after="225" w:line="336" w:lineRule="atLeast"/>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De signalen dat er sprake kan zijn van financiële uitbuiting zijn de volgende:</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Verdwijnen van geld, goederen of waardevolle spullen</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Onverklaarbare geldopnames of kosten</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Plotseling geldgebrek</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Betaalachterstand: huur, energie, rekeningen</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Afgesloten van gas en elektra</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Toenemend aantal schuldeisers</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Brieven van incassobureaus</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Plotselinge verzoeken tot testamentswijzigingen in aanwezigheid van een familielid (pleger)</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Vermijden of weigeren informatie te geven over financiële omstandigheden door oudere of mantelzorger (pleger)</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Weerstand en/of verbaal geweld (door de vermoedelijke pleger) als vermoedens besproken worden</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Verbaal geweld of dreigementen (door de vermoedelijke pleger) tegen de oudere als deze zich wil verzetten</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Verslaving of financiële problemen bij de vermoedelijke pleger</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Verwaarloosde omgeving en/of uiterlijk</w:t>
      </w:r>
    </w:p>
    <w:p w:rsidR="002D541C" w:rsidRPr="002D541C" w:rsidRDefault="002D541C" w:rsidP="002D541C">
      <w:pPr>
        <w:numPr>
          <w:ilvl w:val="0"/>
          <w:numId w:val="1"/>
        </w:numPr>
        <w:shd w:val="clear" w:color="auto" w:fill="FFFFFF"/>
        <w:spacing w:after="60" w:line="336" w:lineRule="atLeast"/>
        <w:ind w:left="225"/>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Afwezigheid van voeding, signalen van ondervoeding</w:t>
      </w:r>
    </w:p>
    <w:p w:rsidR="002D541C" w:rsidRPr="002D541C" w:rsidRDefault="002D541C" w:rsidP="002D541C">
      <w:pPr>
        <w:shd w:val="clear" w:color="auto" w:fill="FFFFFF"/>
        <w:spacing w:after="225" w:line="336" w:lineRule="atLeast"/>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N.B. Deze laatste twee signalen kunnen ook duiden op geestelijke achteruitgang bij een gebrekkig sociaal netwerk en/of op zelfverwaarlozing (iemand is niet meer in staat is goed voor zichzelf te zorgen).</w:t>
      </w:r>
    </w:p>
    <w:p w:rsidR="002D541C" w:rsidRPr="002D541C" w:rsidRDefault="002D541C" w:rsidP="002D541C">
      <w:pPr>
        <w:shd w:val="clear" w:color="auto" w:fill="FFFFFF"/>
        <w:spacing w:after="105" w:line="240" w:lineRule="auto"/>
        <w:outlineLvl w:val="1"/>
        <w:rPr>
          <w:rFonts w:ascii="Verdana" w:eastAsia="Times New Roman" w:hAnsi="Verdana" w:cs="Times New Roman"/>
          <w:color w:val="000000"/>
          <w:sz w:val="24"/>
          <w:szCs w:val="24"/>
          <w:lang w:eastAsia="nl-NL"/>
        </w:rPr>
      </w:pPr>
      <w:r w:rsidRPr="002D541C">
        <w:rPr>
          <w:rFonts w:ascii="Verdana" w:eastAsia="Times New Roman" w:hAnsi="Verdana" w:cs="Times New Roman"/>
          <w:color w:val="000000"/>
          <w:sz w:val="24"/>
          <w:szCs w:val="24"/>
          <w:lang w:eastAsia="nl-NL"/>
        </w:rPr>
        <w:t>Risicofactoren</w:t>
      </w:r>
    </w:p>
    <w:p w:rsidR="002D541C" w:rsidRPr="002D541C" w:rsidRDefault="002D541C" w:rsidP="002D541C">
      <w:pPr>
        <w:shd w:val="clear" w:color="auto" w:fill="FFFFFF"/>
        <w:spacing w:after="225" w:line="336" w:lineRule="atLeast"/>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 xml:space="preserve">Belangrijkste risicofactoren zijn de mate van (zorg)afhankelijkheid, de loyaliteitsrelatie die er is tussen pleger en slachtoffer en de omstandigheden waarin de pleger verkeert, zoals schulden, psychische </w:t>
      </w:r>
      <w:r w:rsidRPr="002D541C">
        <w:rPr>
          <w:rFonts w:ascii="Verdana" w:eastAsia="Times New Roman" w:hAnsi="Verdana" w:cs="Times New Roman"/>
          <w:color w:val="000000"/>
          <w:sz w:val="17"/>
          <w:szCs w:val="17"/>
          <w:lang w:eastAsia="nl-NL"/>
        </w:rPr>
        <w:lastRenderedPageBreak/>
        <w:t>problemen, verslaving. Daarnaast speelt ook mee dat ouderen te goed van vertrouwen kunnen zijn en hun financiële zaken niet goed geregeld hebben voordat hun gezondheid zodanig achteruitgaat, dat zij niet goed meer in staat zijn om hun financiën zelf te regelen.</w:t>
      </w:r>
    </w:p>
    <w:p w:rsidR="002D541C" w:rsidRPr="002D541C" w:rsidRDefault="002D541C" w:rsidP="002D541C">
      <w:pPr>
        <w:shd w:val="clear" w:color="auto" w:fill="FFFFFF"/>
        <w:spacing w:after="225" w:line="336" w:lineRule="atLeast"/>
        <w:rPr>
          <w:rFonts w:ascii="Verdana" w:eastAsia="Times New Roman" w:hAnsi="Verdana" w:cs="Times New Roman"/>
          <w:color w:val="000000"/>
          <w:sz w:val="17"/>
          <w:szCs w:val="17"/>
          <w:lang w:eastAsia="nl-NL"/>
        </w:rPr>
      </w:pPr>
      <w:r w:rsidRPr="002D541C">
        <w:rPr>
          <w:rFonts w:ascii="Verdana" w:eastAsia="Times New Roman" w:hAnsi="Verdana" w:cs="Times New Roman"/>
          <w:color w:val="000000"/>
          <w:sz w:val="17"/>
          <w:szCs w:val="17"/>
          <w:lang w:eastAsia="nl-NL"/>
        </w:rPr>
        <w:t>Er is een </w:t>
      </w:r>
      <w:hyperlink r:id="rId5" w:tgtFrame="_blank" w:history="1">
        <w:r w:rsidRPr="002D541C">
          <w:rPr>
            <w:rFonts w:ascii="Verdana" w:eastAsia="Times New Roman" w:hAnsi="Verdana" w:cs="Times New Roman"/>
            <w:color w:val="154273"/>
            <w:sz w:val="17"/>
            <w:szCs w:val="17"/>
            <w:u w:val="single"/>
            <w:lang w:eastAsia="nl-NL"/>
          </w:rPr>
          <w:t>checklist</w:t>
        </w:r>
      </w:hyperlink>
      <w:r w:rsidRPr="002D541C">
        <w:rPr>
          <w:rFonts w:ascii="Verdana" w:eastAsia="Times New Roman" w:hAnsi="Verdana" w:cs="Times New Roman"/>
          <w:color w:val="000000"/>
          <w:sz w:val="17"/>
          <w:szCs w:val="17"/>
          <w:lang w:eastAsia="nl-NL"/>
        </w:rPr>
        <w:t> die ouderen zelf kunnen invullen. Op basis daarvan kunnen zij, al dan niet in overleg met hun naasten, of de bank of een notaris, besluiten of zij verdere zaken willen of moeten vastleggen om het risico op financieel</w:t>
      </w:r>
      <w:r>
        <w:rPr>
          <w:rFonts w:ascii="Verdana" w:eastAsia="Times New Roman" w:hAnsi="Verdana" w:cs="Times New Roman"/>
          <w:color w:val="000000"/>
          <w:sz w:val="17"/>
          <w:szCs w:val="17"/>
          <w:lang w:eastAsia="nl-NL"/>
        </w:rPr>
        <w:t xml:space="preserve"> misbruik.</w:t>
      </w:r>
    </w:p>
    <w:p w:rsidR="008D228A" w:rsidRDefault="008D228A"/>
    <w:sectPr w:rsidR="008D2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184"/>
    <w:multiLevelType w:val="multilevel"/>
    <w:tmpl w:val="B53C3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1C"/>
    <w:rsid w:val="002D541C"/>
    <w:rsid w:val="008D2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09BB"/>
  <w15:chartTrackingRefBased/>
  <w15:docId w15:val="{551747AC-F4EE-4511-8741-ACD21DCE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2D541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541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D54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D5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2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npak-ouderenmishandeling.nl/doc/Checklist-ouder-voorkomen-van-financiele-uitbuiting.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termeulen</dc:creator>
  <cp:keywords/>
  <dc:description/>
  <cp:lastModifiedBy>m termeulen</cp:lastModifiedBy>
  <cp:revision>1</cp:revision>
  <dcterms:created xsi:type="dcterms:W3CDTF">2018-12-22T11:45:00Z</dcterms:created>
  <dcterms:modified xsi:type="dcterms:W3CDTF">2018-12-22T11:45:00Z</dcterms:modified>
</cp:coreProperties>
</file>